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8C26E" w14:textId="77777777" w:rsidR="0030042C" w:rsidRDefault="0030042C" w:rsidP="0030042C">
      <w:r>
        <w:t xml:space="preserve">Tabla 1. Anticoagulantes orales directos para prevención de eventos tromboembólicos </w:t>
      </w:r>
      <w:r>
        <w:fldChar w:fldCharType="begin" w:fldLock="1"/>
      </w:r>
      <w:r>
        <w:instrText>ADDIN CSL_CITATION {"citationItems":[{"id":"ITEM-1","itemData":{"DOI":"10.1093/eurheartj/ehw210","ISSN":"15229645","PMID":"27567408","author":[{"dropping-particle":"","family":"Kirchhof","given":"Paulus","non-dropping-particle":"","parse-names":false,"suffix":""},{"dropping-particle":"","family":"Benussi","given":"Stefano","non-dropping-particle":"","parse-names":false,"suffix":""},{"dropping-particle":"","family":"Kotecha","given":"Dipak","non-dropping-particle":"","parse-names":false,"suffix":""},{"dropping-particle":"","family":"Ahlsson","given":"Anders","non-dropping-particle":"","parse-names":false,"suffix":""},{"dropping-particle":"","family":"Atar","given":"Dan","non-dropping-particle":"","parse-names":false,"suffix":""},{"dropping-particle":"","family":"Casadei","given":"Barbara","non-dropping-particle":"","parse-names":false,"suffix":""},{"dropping-particle":"","family":"Castella","given":"Manuel","non-dropping-particle":"","parse-names":false,"suffix":""},{"dropping-particle":"","family":"Diener","given":"Hans Christoph","non-dropping-particle":"","parse-names":false,"suffix":""},{"dropping-particle":"","family":"Heidbuchel","given":"Hein","non-dropping-particle":"","parse-names":false,"suffix":""},{"dropping-particle":"","family":"Hendriks","given":"Jeroen","non-dropping-particle":"","parse-names":false,"suffix":""},{"dropping-particle":"","family":"Hindricks","given":"Gerhard","non-dropping-particle":"","parse-names":false,"suffix":""},{"dropping-particle":"","family":"Manolis","given":"Antonis S.","non-dropping-particle":"","parse-names":false,"suffix":""},{"dropping-particle":"","family":"Oldgren","given":"Jonas","non-dropping-particle":"","parse-names":false,"suffix":""},{"dropping-particle":"","family":"Popescu","given":"Bogdan Alexandru","non-dropping-particle":"","parse-names":false,"suffix":""},{"dropping-particle":"","family":"Schotten","given":"Ulrich","non-dropping-particle":"","parse-names":false,"suffix":""},{"dropping-particle":"","family":"Putte","given":"Bart","non-dropping-particle":"Van","parse-names":false,"suffix":""},{"dropping-particle":"","family":"Vardas","given":"Panagiotis","non-dropping-particle":"","parse-names":false,"suffix":""},{"dropping-particle":"","family":"Agewall","given":"S.","non-dropping-particle":"","parse-names":false,"suffix":""},{"dropping-particle":"","family":"Camm","given":"J.","non-dropping-particle":"","parse-names":false,"suffix":""},{"dropping-particle":"","family":"Barón-Esquivias","given":"G.","non-dropping-particle":"","parse-names":false,"suffix":""},{"dropping-particle":"","family":"Budts","given":"W.","non-dropping-particle":"","parse-names":false,"suffix":""},{"dropping-particle":"","family":"Carerj","given":"S.","non-dropping-particle":"","parse-names":false,"suffix":""},{"dropping-particle":"","family":"Casselman","given":"F.","non-dropping-particle":"","parse-names":false,"suffix":""},{"dropping-particle":"","family":"Coca","given":"A.","non-dropping-particle":"","parse-names":false,"suffix":""},{"dropping-particle":"","family":"Caterina","given":"R.","non-dropping-particle":"De","parse-names":false,"suffix":""},{"dropping-particle":"","family":"Deftereos","given":"S.","non-dropping-particle":"","parse-names":false,"suffix":""},{"dropping-particle":"","family":"Dobrev","given":"D.","non-dropping-particle":"","parse-names":false,"suffix":""},{"dropping-particle":"","family":"Ferro","given":"J. M.","non-dropping-particle":"","parse-names":false,"suffix":""},{"dropping-particle":"","family":"Filippatos","given":"G.","non-dropping-particle":"","parse-names":false,"suffix":""},{"dropping-particle":"","family":"Fitzsimons","given":"D.","non-dropping-particle":"","parse-names":false,"suffix":""},{"dropping-particle":"","family":"Gorenek","given":"B.","non-dropping-particle":"","parse-names":false,"suffix":""},{"dropping-particle":"","family":"Guenoun","given":"M.","non-dropping-particle":"","parse-names":false,"suffix":""},{"dropping-particle":"","family":"Hohnloser","given":"S. H.","non-dropping-particle":"","parse-names":false,"suffix":""},{"dropping-particle":"","family":"Kolh","given":"P.","non-dropping-particle":"","parse-names":false,"suffix":""},{"dropping-particle":"","family":"Lip","given":"G. Y.H.","non-dropping-particle":"","parse-names":false,"suffix":""},{"dropping-particle":"","family":"Manolis","given":"A.","non-dropping-particle":"","parse-names":false,"suffix":""},{"dropping-particle":"","family":"McMurray","given":"J.","non-dropping-particle":"","parse-names":false,"suffix":""},{"dropping-particle":"","family":"Ponikowski","given":"P.","non-dropping-particle":"","parse-names":false,"suffix":""},{"dropping-particle":"","family":"Rosenhek","given":"R.","non-dropping-particle":"","parse-names":false,"suffix":""},{"dropping-particle":"","family":"Ruschitzka","given":"F.","non-dropping-particle":"","parse-names":false,"suffix":""},{"dropping-particle":"","family":"Savelieva","given":"I.","non-dropping-particle":"","parse-names":false,"suffix":""},{"dropping-particle":"","family":"Sharma","given":"S.","non-dropping-particle":"","parse-names":false,"suffix":""},{"dropping-particle":"","family":"Suwalski","given":"P.","non-dropping-particle":"","parse-names":false,"suffix":""},{"dropping-particle":"","family":"Tamargo","given":"J. L.","non-dropping-particle":"","parse-names":false,"suffix":""},{"dropping-particle":"","family":"Taylor","given":"C. J.","non-dropping-particle":"","parse-names":false,"suffix":""},{"dropping-particle":"","family":"Gelder","given":"I. C.","non-dropping-particle":"Van","parse-names":false,"suffix":""},{"dropping-particle":"","family":"Voors","given":"A. A.","non-dropping-particle":"","parse-names":false,"suffix":""},{"dropping-particle":"","family":"Windecker","given":"S.","non-dropping-particle":"","parse-names":false,"suffix":""},{"dropping-particle":"","family":"Zamorano","given":"J. L.","non-dropping-particle":"","parse-names":false,"suffix":""},{"dropping-particle":"","family":"Zeppenfeld","given":"K.","non-dropping-particle":"","parse-names":false,"suffix":""},{"dropping-particle":"","family":"Aboyans","given":"V.","non-dropping-particle":"","parse-names":false,"suffix":""},{"dropping-particle":"","family":"Achenbach","given":"S.","non-dropping-particle":"","parse-names":false,"suffix":""},{"dropping-particle":"","family":"Badimon","given":"L.","non-dropping-particle":"","parse-names":false,"suffix":""},{"dropping-particle":"","family":"Baumgartner","given":"H.","non-dropping-particle":"","parse-names":false,"suffix":""},{"dropping-particle":"","family":"Bax","given":"J. J.","non-dropping-particle":"","parse-names":false,"suffix":""},{"dropping-particle":"","family":"Bueno","given":"H.","non-dropping-particle":"","parse-names":false,"suffix":""},{"dropping-particle":"","family":"Dean","given":"V.","non-dropping-particle":"","parse-names":false,"suffix":""},{"dropping-particle":"","family":"Erol","given":"","non-dropping-particle":"","parse-names":false,"suffix":""},{"dropping-particle":"","family":"Gaemperli","given":"O.","non-dropping-particle":"","parse-names":false,"suffix":""},{"dropping-particle":"","family":"Lancellotti","given":"P.","non-dropping-particle":"","parse-names":false,"suffix":""},{"dropping-particle":"","family":"Nihoyannopoulos","given":"P.","non-dropping-particle":"","parse-names":false,"suffix":""},{"dropping-particle":"","family":"Piepoli","given":"M. F.","non-dropping-particle":"","parse-names":false,"suffix":""},{"dropping-particle":"","family":"Roffi","given":"M.","non-dropping-particle":"","parse-names":false,"suffix":""},{"dropping-particle":"","family":"Torbicki","given":"A.","non-dropping-particle":"","parse-names":false,"suffix":""},{"dropping-particle":"","family":"Vaz Carneiro","given":"A.","non-dropping-particle":"","parse-names":false,"suffix":""},{"dropping-particle":"","family":"Hayrapetyan","given":"H. G.","non-dropping-particle":"","parse-names":false,"suffix":""},{"dropping-particle":"","family":"Roithinger","given":"F. X.","non-dropping-particle":"","parse-names":false,"suffix":""},{"dropping-particle":"","family":"Aliyev","given":"F.","non-dropping-particle":"","parse-names":false,"suffix":""},{"dropping-particle":"","family":"Chasnoits","given":"A.","non-dropping-particle":"","parse-names":false,"suffix":""},{"dropping-particle":"","family":"Mairesse","given":"G. H.","non-dropping-particle":"","parse-names":false,"suffix":""},{"dropping-particle":"","family":"Matičević","given":"D. L.","non-dropping-particle":"","parse-names":false,"suffix":""},{"dropping-particle":"","family":"Shalganov","given":"T.","non-dropping-particle":"","parse-names":false,"suffix":""},{"dropping-particle":"","family":"Skorić","given":"B.","non-dropping-particle":"","parse-names":false,"suffix":""},{"dropping-particle":"","family":"Antoniades","given":"L.","non-dropping-particle":"","parse-names":false,"suffix":""},{"dropping-particle":"","family":"Taborsky","given":"M.","non-dropping-particle":"","parse-names":false,"suffix":""},{"dropping-particle":"","family":"Pehrson","given":"S.","non-dropping-particle":"","parse-names":false,"suffix":""},{"dropping-particle":"","family":"Khaled","given":"S.","non-dropping-particle":"","parse-names":false,"suffix":""},{"dropping-particle":"","family":"Kampus","given":"P.","non-dropping-particle":"","parse-names":false,"suffix":""},{"dropping-particle":"","family":"Hedman","given":"A.","non-dropping-particle":"","parse-names":false,"suffix":""},{"dropping-particle":"","family":"Poposka","given":"L.","non-dropping-particle":"","parse-names":false,"suffix":""},{"dropping-particle":"","family":"Heuzey","given":"J. Y.","non-dropping-particle":"Le","parse-names":false,"suffix":""},{"dropping-particle":"","family":"Estadashvili","given":"K.","non-dropping-particle":"","parse-names":false,"suffix":""},{"dropping-particle":"","family":"Bänsch","given":"D.","non-dropping-particle":"","parse-names":false,"suffix":""},{"dropping-particle":"","family":"Csanádi","given":"Z.","non-dropping-particle":"","parse-names":false,"suffix":""},{"dropping-particle":"","family":"Keane","given":"D.","non-dropping-particle":"","parse-names":false,"suffix":""},{"dropping-particle":"","family":"Beinart","given":"R.","non-dropping-particle":"","parse-names":false,"suffix":""},{"dropping-particle":"","family":"Romeo","given":"F.","non-dropping-particle":"","parse-names":false,"suffix":""},{"dropping-particle":"","family":"Koshumbayeva","given":"K.","non-dropping-particle":"","parse-names":false,"suffix":""},{"dropping-particle":"","family":"Bajraktari","given":"G.","non-dropping-particle":"","parse-names":false,"suffix":""},{"dropping-particle":"","family":"Mirrakhimov","given":"A.","non-dropping-particle":"","parse-names":false,"suffix":""},{"dropping-particle":"","family":"Kalejs","given":"O.","non-dropping-particle":"","parse-names":false,"suffix":""},{"dropping-particle":"","family":"Nasr","given":"S.","non-dropping-particle":"","parse-names":false,"suffix":""},{"dropping-particle":"","family":"Marinskis","given":"G.","non-dropping-particle":"","parse-names":false,"suffix":""},{"dropping-particle":"","family":"Dimmer","given":"C.","non-dropping-particle":"","parse-names":false,"suffix":""},{"dropping-particle":"","family":"Sammut","given":"M.","non-dropping-particle":"","parse-names":false,"suffix":""},{"dropping-particle":"","family":"Grosu","given":"A.","non-dropping-particle":"","parse-names":false,"suffix":""},{"dropping-particle":"","family":"Abdelali","given":"S.","non-dropping-particle":"","parse-names":false,"suffix":""},{"dropping-particle":"","family":"Hemels","given":"M. E.W.","non-dropping-particle":"","parse-names":false,"suffix":""},{"dropping-particle":"","family":"Anfinsen","given":"O. G.","non-dropping-particle":"","parse-names":false,"suffix":""},{"dropping-particle":"","family":"Średniawa","given":"B.","non-dropping-particle":"","parse-names":false,"suffix":""},{"dropping-particle":"","family":"Adragao","given":"P.","non-dropping-particle":"","parse-names":false,"suffix":""},{"dropping-particle":"","family":"Dan","given":"G. A.","non-dropping-particle":"","parse-names":false,"suffix":""},{"dropping-particle":"","family":"Mikhaylov","given":"E. N.","non-dropping-particle":"","parse-names":false,"suffix":""},{"dropping-particle":"","family":"Zavatta","given":"M.","non-dropping-particle":"","parse-names":false,"suffix":""},{"dropping-particle":"","family":"Potpara","given":"T.","non-dropping-particle":"","parse-names":false,"suffix":""},{"dropping-particle":"","family":"Slovenia","given":"P. H.","non-dropping-particle":"","parse-names":false,"suffix":""},{"dropping-particle":"","family":"Zupan","given":"I.","non-dropping-particle":"","parse-names":false,"suffix":""},{"dropping-particle":"","family":"Arenal","given":"A.","non-dropping-particle":"","parse-names":false,"suffix":""},{"dropping-particle":"","family":"Braunschweig","given":"F.","non-dropping-particle":"","parse-names":false,"suffix":""},{"dropping-particle":"","family":"Shah","given":"D.","non-dropping-particle":"","parse-names":false,"suffix":""},{"dropping-particle":"","family":"Ouali","given":"A. S.","non-dropping-particle":"","parse-names":false,"suffix":""},{"dropping-particle":"","family":"Demir","given":"M.","non-dropping-particle":"","parse-names":false,"suffix":""},{"dropping-particle":"","family":"Sychov","given":"O.","non-dropping-particle":"","parse-names":false,"suffix":""},{"dropping-particle":"","family":"Duncan","given":"E.","non-dropping-particle":"","parse-names":false,"suffix":""}],"container-title":"European Heart Journal","id":"ITEM-1","issue":"38","issued":{"date-parts":[["2016"]]},"page":"2893-2962","title":"2016 ESC Guidelines for the management of atrial fibrillation developed in collaboration with EACTS","type":"article-journal","volume":"37"},"uris":["http://www.mendeley.com/documents/?uuid=131abaaf-cab4-4086-b25b-17da05bf7dfe"]},{"id":"ITEM-2","itemData":{"ISSN":"15792242","abstract":"Guía ESC 2020 sobre el diagnó stico y tratamiento de la fibrilació n auricular, desarrollada en colaboració n de la European Association for Cardio-Thoracic Surgery (EACTS) Grupo de Trabajo de la Sociedad Europea de Cardiología (ESC) para el diagnó stico y el tratamiento de la fibrilació n auricular Desarrollada con la colaboració n especial de la European Heart Rhythm Association (EHRA) de la ESC (T. Potpara). ^ Representante de la European Association of Cardio-Thoracic Surgery (EACTS). La lista de miembros del Comité de la ESC para la elaboració n de Guías de Prá ctica Clínica y los revisores de las sociedades nacionales se recogen en el anexo. Entidades de la ESC que han participado en la elaboració n de este documento: El contenido de esta GPC de la ESC se publica exclusivamente para uso personal y educativo. No se autoriza su uso comercial. No se autoriza la traducció n o reproducció n de ningú n fragmento de esta guía sin la autorizació n escrita de la ESC. La autorizació n se solicitará por escrito a Oxford University Press, editorial de European Heart Journal y representante autorizado de la ESC para estas cuestiones (journals.permissions@oup.com). Descargo de responsabilidad. Esta guía recoge la opinió n de la ESC y se ha elaborado tras el estudio minucioso de los datos y la evidencia disponibles hasta la fecha. La ESC no es responsable en caso de que haya alguna contradicció n, discrepancia o ambigü edad entre la GPC de la ESC y cualquier otra recomendació n oficial o GPC publicada por autoridades relevantes de la sanidad pú blica, particularmente en lo que se refiere al buen uso de la atenció n sanitaria y las estrategias terapé uticas. Se espera que los profesionales de la salud tengan en consideració n esta GPC a la hora de tomar decisiones clínicas, así como al implementar estrategias mé dicas preventivas, diagnó sticas o terapé uticas. No obstante, esta guía no anula la responsabilidad individual de cada profesional al tomar las decisiones oportunas relativas a cada paciente, de acuerdo con dicho paciente y, cuando fuera necesario, con su tutor o representante legal. Ademá s, las GPC de la ESC no eximen al profesional mé dico de su obligació n e ´ tica y profesional de consultar y considerar atentamente las recomendaciones y GPC actualizadas emitidas por autoridades sanitarias competentes. Es tambié n responsabilidad del profesional verificar la normativa y la legislació n sobre fá rmacos y dispositivos mé dicos a la hora de prescribirlos.","author":[{"dropping-particle":"","family":"Hindricks","given":"Gerhard","non-dropping-particle":"","parse-names":false,"suffix":""},{"dropping-particle":"","family":"Potpara","given":"Tatjana","non-dropping-particle":"","parse-names":false,"suffix":""},{"dropping-particle":"","family":"Dagres","given":"Nikolaos","non-dropping-particle":"","parse-names":false,"suffix":""},{"dropping-particle":"","family":"Arbelo","given":"Elena","non-dropping-particle":"","parse-names":false,"suffix":""},{"dropping-particle":"","family":"Bax","given":"Jeroen J.","non-dropping-particle":"","parse-names":false,"suffix":""},{"dropping-particle":"","family":"Blomström-Lundqvist","given":"Carina","non-dropping-particle":"","parse-names":false,"suffix":""},{"dropping-particle":"","family":"Boriani","given":"Giuseppe","non-dropping-particle":"","parse-names":false,"suffix":""},{"dropping-particle":"","family":"Castella","given":"Manuel","non-dropping-particle":"","parse-names":false,"suffix":""},{"dropping-particle":"","family":"Dan","given":"Gheorghe Andrei","non-dropping-particle":"","parse-names":false,"suffix":""},{"dropping-particle":"","family":"Dilaveris","given":"Polychronis E.","non-dropping-particle":"","parse-names":false,"suffix":""},{"dropping-particle":"","family":"Fauchier","given":"Laurent","non-dropping-particle":"","parse-names":false,"suffix":""},{"dropping-particle":"","family":"Filippatos","given":"Gerasimos","non-dropping-particle":"","parse-names":false,"suffix":""},{"dropping-particle":"","family":"Kalman","given":"Jonathan M.","non-dropping-particle":"","parse-names":false,"suffix":""},{"dropping-particle":"La","family":"Meir","given":"Mark","non-dropping-particle":"","parse-names":false,"suffix":""},{"dropping-particle":"","family":"Lane","given":"Deirdre A.","non-dropping-particle":"","parse-names":false,"suffix":""},{"dropping-particle":"","family":"Lebeau","given":"Jean Pierre","non-dropping-particle":"","parse-names":false,"suffix":""},{"dropping-particle":"","family":"Lettino","given":"Maddalena","non-dropping-particle":"","parse-names":false,"suffix":""},{"dropping-particle":"","family":"Lip","given":"Gregory Y.H.","non-dropping-particle":"","parse-names":false,"suffix":""},{"dropping-particle":"","family":"Pinto","given":"Fausto J.","non-dropping-particle":"","parse-names":false,"suffix":""},{"dropping-particle":"","family":"Neil Thomas","given":"G.","non-dropping-particle":"","parse-names":false,"suffix":""},{"dropping-particle":"","family":"Valgimigli","given":"Marco","non-dropping-particle":"","parse-names":false,"suffix":""},{"dropping-particle":"","family":"Gelder","given":"Isabelle C.","non-dropping-particle":"Van","parse-names":false,"suffix":""},{"dropping-particle":"","family":"Putte","given":"Bart P.","non-dropping-particle":"Van","parse-names":false,"suffix":""},{"dropping-particle":"","family":"Watkins","given":"Caroline L.","non-dropping-particle":"","parse-names":false,"suffix":""}],"container-title":"Revista Espanola de Cardiologia","id":"ITEM-2","issue":"5","issued":{"date-parts":[["2021"]]},"page":"437.e1-437.e116","title":"Guía ESC 2020 sobre el diagnóstico y tratamiento de la fibrilación auricular, desarrollada en colaboración de la European Association for Cardio-Thoracic Surgery (EACTS)","type":"article-journal","volume":"74"},"uris":["http://www.mendeley.com/documents/?uuid=44612353-8bea-4f98-b5ed-dede5ef3beb4"]},{"id":"ITEM-3","itemData":{"DOI":"10.3389/fphar.2021.684638","ISSN":"16639812","abstract":"Direct oral anticoagulants (DOACs) are a more manageable alternative than vitamin K antagonists (VKAs) to prevent stroke in patients with nonvalvular atrial fibrillation and to prevent and treat venous thromboembolism. Despite their widespread use in clinical practice, there are still some unresolved issues on optimizing their use in particular clinical settings. Herein, we reviewed the current clinical evidence on uses of DOACs from pharmacology and clinical indications to safety and practical issues such as drugs and food interactions. Dabigatran is the DOAC most affected by interactions with drugs and food, although all DOACs demonstrate a favorable pharmacokinetic profile. Management issues associated with perioperative procedures, bleeding treatment, and special populations (pregnancy, renal and hepatic impairment, elderly, and oncologic patients) have been discussed. Literature evidence shows that DOACs are at least as effective as VKAs, with a favorable safety profile; data are particularly encouraging in using low doses of edoxaban in elderly patients, and edoxaban and rivaroxaban in the treatment of venous thromboembolism in oncologic patients. In the next year, DOAC clinical indications are likely to be further extended.","author":[{"dropping-particle":"","family":"Roberti","given":"Roberta","non-dropping-particle":"","parse-names":false,"suffix":""},{"dropping-particle":"","family":"Iannone","given":"Luigi Francesco","non-dropping-particle":"","parse-names":false,"suffix":""},{"dropping-particle":"","family":"Palleria","given":"Caterina","non-dropping-particle":"","parse-names":false,"suffix":""},{"dropping-particle":"","family":"Curcio","given":"Antonio","non-dropping-particle":"","parse-names":false,"suffix":""},{"dropping-particle":"","family":"Rossi","given":"Marco","non-dropping-particle":"","parse-names":false,"suffix":""},{"dropping-particle":"","family":"Sciacqua","given":"Angela","non-dropping-particle":"","parse-names":false,"suffix":""},{"dropping-particle":"","family":"Armentaro","given":"Giuseppe","non-dropping-particle":"","parse-names":false,"suffix":""},{"dropping-particle":"","family":"Vero","given":"Ada","non-dropping-particle":"","parse-names":false,"suffix":""},{"dropping-particle":"","family":"Manti","given":"Antonia","non-dropping-particle":"","parse-names":false,"suffix":""},{"dropping-particle":"","family":"Cassano","given":"Velia","non-dropping-particle":"","parse-names":false,"suffix":""},{"dropping-particle":"","family":"Russo","given":"Emilio","non-dropping-particle":"","parse-names":false,"suffix":""},{"dropping-particle":"","family":"Sarro","given":"Giovambattista","non-dropping-particle":"De","parse-names":false,"suffix":""},{"dropping-particle":"","family":"Citraro","given":"Rita","non-dropping-particle":"","parse-names":false,"suffix":""}],"container-title":"Frontiers in Pharmacology","id":"ITEM-3","issue":"May","issued":{"date-parts":[["2021"]]},"page":"1-14","title":"Direct Oral Anticoagulants: From Randomized Clinical Trials to Real-World Clinical Practice","type":"article-journal","volume":"12"},"uris":["http://www.mendeley.com/documents/?uuid=4d0f6636-cb2e-45b6-82a0-ec246b583aeb"]},{"id":"ITEM-4","itemData":{"DOI":"10.1177/1753944718787384","ISSN":"1753-9455","abstract":"BACKGROUND: To review data from the pivotal phase III trials evaluating the efficacy and safety of direct oral anticoagulants (DOACs) versus warfarin for stroke prevention in patients with nonvalvular atrial fibrillation (NVAF), and to summarize the major findings with regards to patient subgroups that are at an increased risk for stroke or bleeding. METHODS: A PubMed literature search (January 2009 to January 2017) was performed using the terms 'dabigatran', 'rivaroxaban', 'apixaban', 'edoxaban', 'atrial fibrillation', 'RE-LY', 'ROCKET AF', 'ARISTOTLE', and 'ENGAGE AF-TIMI 48'. All primary publications and secondary analyses in special populations at increased risk of stroke or bleeding from the pivotal phase III clinical trials were evaluated. RESULTS: Available secondary analyses indicate no treatment interactions with regards to stroke or systemic embolic event (SEE) prevention for any of the DOACs in the patient subgroups, including patients with advanced age, impaired renal function, diabetes, prior stroke, concomitant antiplatelet therapy, heart failure, prior stroke, history of hypertension, myocardial infarction (MI), coronary artery disease, and peripheral artery disease (PAD). Although higher bleeding incidence was reported with dabigatran and rivaroxaban in patients aged 75 years and over with apixaban in patients with diabetes, and with rivaroxaban in patients with previous MI or PAD, no changes in dosing are recommended. CONCLUSIONS: Overall, results of secondary analyses indicate that the recommended dosing strategy for each of the DOACs produces a consistent anticoagulant effect across a diverse patient population, including those at increased risk of stroke or bleeding.","author":[{"dropping-particle":"","family":"Stacy","given":"Zachary A","non-dropping-particle":"","parse-names":false,"suffix":""},{"dropping-particle":"","family":"Richter","given":"Sara K","non-dropping-particle":"","parse-names":false,"suffix":""}],"container-title":"Therapeutic advances in cardiovascular disease","id":"ITEM-4","issue":"9","issued":{"date-parts":[["2018","9"]]},"language":"eng","page":"247-262","publisher":"SAGE Publications","title":"Direct oral anticoagulants for stroke prevention in atrial fibrillation: treatment outcomes and dosing in special populations","type":"article-journal","volume":"12"},"uris":["http://www.mendeley.com/documents/?uuid=ba54da3d-c435-4e22-adb9-850bec73c410"]}],"mendeley":{"formattedCitation":"(7,36,39,42)","plainTextFormattedCitation":"(7,36,39,42)","previouslyFormattedCitation":"(7,36,39,42)"},"properties":{"noteIndex":0},"schema":"https://github.com/citation-style-language/schema/raw/master/csl-citation.json"}</w:instrText>
      </w:r>
      <w:r>
        <w:fldChar w:fldCharType="separate"/>
      </w:r>
      <w:r w:rsidRPr="0023688E">
        <w:rPr>
          <w:noProof/>
        </w:rPr>
        <w:t>(7,36,39,42)</w:t>
      </w:r>
      <w:r>
        <w:fldChar w:fldCharType="end"/>
      </w:r>
    </w:p>
    <w:tbl>
      <w:tblPr>
        <w:tblStyle w:val="Tablanormal2"/>
        <w:tblW w:w="0" w:type="auto"/>
        <w:tblLook w:val="04A0" w:firstRow="1" w:lastRow="0" w:firstColumn="1" w:lastColumn="0" w:noHBand="0" w:noVBand="1"/>
      </w:tblPr>
      <w:tblGrid>
        <w:gridCol w:w="1838"/>
        <w:gridCol w:w="1701"/>
        <w:gridCol w:w="2126"/>
        <w:gridCol w:w="2829"/>
      </w:tblGrid>
      <w:tr w:rsidR="0030042C" w14:paraId="18A4593C" w14:textId="77777777" w:rsidTr="005F53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A879E46" w14:textId="77777777" w:rsidR="0030042C" w:rsidRDefault="0030042C" w:rsidP="005F537B">
            <w:pPr>
              <w:jc w:val="center"/>
            </w:pPr>
            <w:r>
              <w:t>Fármaco</w:t>
            </w:r>
          </w:p>
        </w:tc>
        <w:tc>
          <w:tcPr>
            <w:tcW w:w="1701" w:type="dxa"/>
          </w:tcPr>
          <w:p w14:paraId="4FCFB2A1" w14:textId="77777777" w:rsidR="0030042C" w:rsidRDefault="0030042C" w:rsidP="005F537B">
            <w:pPr>
              <w:jc w:val="center"/>
              <w:cnfStyle w:val="100000000000" w:firstRow="1" w:lastRow="0" w:firstColumn="0" w:lastColumn="0" w:oddVBand="0" w:evenVBand="0" w:oddHBand="0" w:evenHBand="0" w:firstRowFirstColumn="0" w:firstRowLastColumn="0" w:lastRowFirstColumn="0" w:lastRowLastColumn="0"/>
            </w:pPr>
            <w:r>
              <w:t>Vida media</w:t>
            </w:r>
          </w:p>
        </w:tc>
        <w:tc>
          <w:tcPr>
            <w:tcW w:w="2126" w:type="dxa"/>
          </w:tcPr>
          <w:p w14:paraId="6E04A41A" w14:textId="77777777" w:rsidR="0030042C" w:rsidRDefault="0030042C" w:rsidP="005F537B">
            <w:pPr>
              <w:jc w:val="center"/>
              <w:cnfStyle w:val="100000000000" w:firstRow="1" w:lastRow="0" w:firstColumn="0" w:lastColumn="0" w:oddVBand="0" w:evenVBand="0" w:oddHBand="0" w:evenHBand="0" w:firstRowFirstColumn="0" w:firstRowLastColumn="0" w:lastRowFirstColumn="0" w:lastRowLastColumn="0"/>
            </w:pPr>
            <w:r>
              <w:t>Vía de excreción</w:t>
            </w:r>
          </w:p>
        </w:tc>
        <w:tc>
          <w:tcPr>
            <w:tcW w:w="2829" w:type="dxa"/>
          </w:tcPr>
          <w:p w14:paraId="43185C93" w14:textId="77777777" w:rsidR="0030042C" w:rsidRDefault="0030042C" w:rsidP="005F537B">
            <w:pPr>
              <w:jc w:val="center"/>
              <w:cnfStyle w:val="100000000000" w:firstRow="1" w:lastRow="0" w:firstColumn="0" w:lastColumn="0" w:oddVBand="0" w:evenVBand="0" w:oddHBand="0" w:evenHBand="0" w:firstRowFirstColumn="0" w:firstRowLastColumn="0" w:lastRowFirstColumn="0" w:lastRowLastColumn="0"/>
            </w:pPr>
            <w:r>
              <w:t>Dosis</w:t>
            </w:r>
          </w:p>
        </w:tc>
      </w:tr>
      <w:tr w:rsidR="0030042C" w14:paraId="10AD908F" w14:textId="77777777" w:rsidTr="005F53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4000080" w14:textId="77777777" w:rsidR="0030042C" w:rsidRDefault="0030042C" w:rsidP="005F537B">
            <w:r>
              <w:t>Dabigatrán</w:t>
            </w:r>
          </w:p>
        </w:tc>
        <w:tc>
          <w:tcPr>
            <w:tcW w:w="1701" w:type="dxa"/>
          </w:tcPr>
          <w:p w14:paraId="3F20270F" w14:textId="77777777" w:rsidR="0030042C" w:rsidRDefault="0030042C" w:rsidP="005F537B">
            <w:pPr>
              <w:cnfStyle w:val="000000100000" w:firstRow="0" w:lastRow="0" w:firstColumn="0" w:lastColumn="0" w:oddVBand="0" w:evenVBand="0" w:oddHBand="1" w:evenHBand="0" w:firstRowFirstColumn="0" w:firstRowLastColumn="0" w:lastRowFirstColumn="0" w:lastRowLastColumn="0"/>
            </w:pPr>
            <w:r>
              <w:t>12-14 h</w:t>
            </w:r>
          </w:p>
        </w:tc>
        <w:tc>
          <w:tcPr>
            <w:tcW w:w="2126" w:type="dxa"/>
          </w:tcPr>
          <w:p w14:paraId="4F874E54" w14:textId="77777777" w:rsidR="0030042C" w:rsidRDefault="0030042C" w:rsidP="005F537B">
            <w:pPr>
              <w:cnfStyle w:val="000000100000" w:firstRow="0" w:lastRow="0" w:firstColumn="0" w:lastColumn="0" w:oddVBand="0" w:evenVBand="0" w:oddHBand="1" w:evenHBand="0" w:firstRowFirstColumn="0" w:firstRowLastColumn="0" w:lastRowFirstColumn="0" w:lastRowLastColumn="0"/>
            </w:pPr>
            <w:r>
              <w:t>80% renal</w:t>
            </w:r>
          </w:p>
          <w:p w14:paraId="14D4CB3A" w14:textId="77777777" w:rsidR="0030042C" w:rsidRDefault="0030042C" w:rsidP="005F537B">
            <w:pPr>
              <w:cnfStyle w:val="000000100000" w:firstRow="0" w:lastRow="0" w:firstColumn="0" w:lastColumn="0" w:oddVBand="0" w:evenVBand="0" w:oddHBand="1" w:evenHBand="0" w:firstRowFirstColumn="0" w:firstRowLastColumn="0" w:lastRowFirstColumn="0" w:lastRowLastColumn="0"/>
            </w:pPr>
            <w:r>
              <w:t>20% hepática</w:t>
            </w:r>
          </w:p>
        </w:tc>
        <w:tc>
          <w:tcPr>
            <w:tcW w:w="2829" w:type="dxa"/>
          </w:tcPr>
          <w:p w14:paraId="42853A53" w14:textId="77777777" w:rsidR="0030042C" w:rsidRDefault="0030042C" w:rsidP="005F537B">
            <w:pPr>
              <w:cnfStyle w:val="000000100000" w:firstRow="0" w:lastRow="0" w:firstColumn="0" w:lastColumn="0" w:oddVBand="0" w:evenVBand="0" w:oddHBand="1" w:evenHBand="0" w:firstRowFirstColumn="0" w:firstRowLastColumn="0" w:lastRowFirstColumn="0" w:lastRowLastColumn="0"/>
            </w:pPr>
            <w:r>
              <w:t>150 mg 2 veces al día o</w:t>
            </w:r>
          </w:p>
          <w:p w14:paraId="0C1B5C38" w14:textId="77777777" w:rsidR="0030042C" w:rsidRDefault="0030042C" w:rsidP="005F537B">
            <w:pPr>
              <w:cnfStyle w:val="000000100000" w:firstRow="0" w:lastRow="0" w:firstColumn="0" w:lastColumn="0" w:oddVBand="0" w:evenVBand="0" w:oddHBand="1" w:evenHBand="0" w:firstRowFirstColumn="0" w:firstRowLastColumn="0" w:lastRowFirstColumn="0" w:lastRowLastColumn="0"/>
            </w:pPr>
            <w:r>
              <w:t>110 mg 2 veces al día</w:t>
            </w:r>
          </w:p>
        </w:tc>
      </w:tr>
      <w:tr w:rsidR="0030042C" w14:paraId="2DE377EE" w14:textId="77777777" w:rsidTr="005F537B">
        <w:tc>
          <w:tcPr>
            <w:cnfStyle w:val="001000000000" w:firstRow="0" w:lastRow="0" w:firstColumn="1" w:lastColumn="0" w:oddVBand="0" w:evenVBand="0" w:oddHBand="0" w:evenHBand="0" w:firstRowFirstColumn="0" w:firstRowLastColumn="0" w:lastRowFirstColumn="0" w:lastRowLastColumn="0"/>
            <w:tcW w:w="1838" w:type="dxa"/>
          </w:tcPr>
          <w:p w14:paraId="6D8F8AF9" w14:textId="77777777" w:rsidR="0030042C" w:rsidRDefault="0030042C" w:rsidP="005F537B">
            <w:r>
              <w:t>R</w:t>
            </w:r>
            <w:r w:rsidRPr="009B6843">
              <w:t>ivaroxabán</w:t>
            </w:r>
          </w:p>
        </w:tc>
        <w:tc>
          <w:tcPr>
            <w:tcW w:w="1701" w:type="dxa"/>
          </w:tcPr>
          <w:p w14:paraId="36D3682C" w14:textId="77777777" w:rsidR="0030042C" w:rsidRDefault="0030042C" w:rsidP="005F537B">
            <w:pPr>
              <w:cnfStyle w:val="000000000000" w:firstRow="0" w:lastRow="0" w:firstColumn="0" w:lastColumn="0" w:oddVBand="0" w:evenVBand="0" w:oddHBand="0" w:evenHBand="0" w:firstRowFirstColumn="0" w:firstRowLastColumn="0" w:lastRowFirstColumn="0" w:lastRowLastColumn="0"/>
            </w:pPr>
            <w:r>
              <w:t>5-9 h (AJ)</w:t>
            </w:r>
          </w:p>
          <w:p w14:paraId="6750213F" w14:textId="77777777" w:rsidR="0030042C" w:rsidRDefault="0030042C" w:rsidP="005F537B">
            <w:pPr>
              <w:cnfStyle w:val="000000000000" w:firstRow="0" w:lastRow="0" w:firstColumn="0" w:lastColumn="0" w:oddVBand="0" w:evenVBand="0" w:oddHBand="0" w:evenHBand="0" w:firstRowFirstColumn="0" w:firstRowLastColumn="0" w:lastRowFirstColumn="0" w:lastRowLastColumn="0"/>
            </w:pPr>
            <w:r>
              <w:t>11-13 h (AM)</w:t>
            </w:r>
          </w:p>
        </w:tc>
        <w:tc>
          <w:tcPr>
            <w:tcW w:w="2126" w:type="dxa"/>
          </w:tcPr>
          <w:p w14:paraId="08184FBF" w14:textId="77777777" w:rsidR="0030042C" w:rsidRDefault="0030042C" w:rsidP="005F537B">
            <w:pPr>
              <w:cnfStyle w:val="000000000000" w:firstRow="0" w:lastRow="0" w:firstColumn="0" w:lastColumn="0" w:oddVBand="0" w:evenVBand="0" w:oddHBand="0" w:evenHBand="0" w:firstRowFirstColumn="0" w:firstRowLastColumn="0" w:lastRowFirstColumn="0" w:lastRowLastColumn="0"/>
            </w:pPr>
            <w:r>
              <w:t>33% renal</w:t>
            </w:r>
          </w:p>
          <w:p w14:paraId="27B80E68" w14:textId="77777777" w:rsidR="0030042C" w:rsidRDefault="0030042C" w:rsidP="005F537B">
            <w:pPr>
              <w:cnfStyle w:val="000000000000" w:firstRow="0" w:lastRow="0" w:firstColumn="0" w:lastColumn="0" w:oddVBand="0" w:evenVBand="0" w:oddHBand="0" w:evenHBand="0" w:firstRowFirstColumn="0" w:firstRowLastColumn="0" w:lastRowFirstColumn="0" w:lastRowLastColumn="0"/>
            </w:pPr>
            <w:r>
              <w:t>67% hepática</w:t>
            </w:r>
          </w:p>
        </w:tc>
        <w:tc>
          <w:tcPr>
            <w:tcW w:w="2829" w:type="dxa"/>
          </w:tcPr>
          <w:p w14:paraId="5B0D7236" w14:textId="77777777" w:rsidR="0030042C" w:rsidRDefault="0030042C" w:rsidP="005F537B">
            <w:pPr>
              <w:cnfStyle w:val="000000000000" w:firstRow="0" w:lastRow="0" w:firstColumn="0" w:lastColumn="0" w:oddVBand="0" w:evenVBand="0" w:oddHBand="0" w:evenHBand="0" w:firstRowFirstColumn="0" w:firstRowLastColumn="0" w:lastRowFirstColumn="0" w:lastRowLastColumn="0"/>
            </w:pPr>
            <w:r>
              <w:t>20 mg 1 vez al día</w:t>
            </w:r>
          </w:p>
        </w:tc>
      </w:tr>
      <w:tr w:rsidR="0030042C" w14:paraId="53EC415D" w14:textId="77777777" w:rsidTr="005F53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A7CB809" w14:textId="77777777" w:rsidR="0030042C" w:rsidRDefault="0030042C" w:rsidP="005F537B">
            <w:r>
              <w:t>A</w:t>
            </w:r>
            <w:r w:rsidRPr="009B6843">
              <w:t>pixabán</w:t>
            </w:r>
          </w:p>
        </w:tc>
        <w:tc>
          <w:tcPr>
            <w:tcW w:w="1701" w:type="dxa"/>
          </w:tcPr>
          <w:p w14:paraId="6DACEB30" w14:textId="77777777" w:rsidR="0030042C" w:rsidRDefault="0030042C" w:rsidP="005F537B">
            <w:pPr>
              <w:cnfStyle w:val="000000100000" w:firstRow="0" w:lastRow="0" w:firstColumn="0" w:lastColumn="0" w:oddVBand="0" w:evenVBand="0" w:oddHBand="1" w:evenHBand="0" w:firstRowFirstColumn="0" w:firstRowLastColumn="0" w:lastRowFirstColumn="0" w:lastRowLastColumn="0"/>
            </w:pPr>
            <w:r>
              <w:t>12 h</w:t>
            </w:r>
          </w:p>
        </w:tc>
        <w:tc>
          <w:tcPr>
            <w:tcW w:w="2126" w:type="dxa"/>
          </w:tcPr>
          <w:p w14:paraId="1DC779F0" w14:textId="77777777" w:rsidR="0030042C" w:rsidRDefault="0030042C" w:rsidP="005F537B">
            <w:pPr>
              <w:cnfStyle w:val="000000100000" w:firstRow="0" w:lastRow="0" w:firstColumn="0" w:lastColumn="0" w:oddVBand="0" w:evenVBand="0" w:oddHBand="1" w:evenHBand="0" w:firstRowFirstColumn="0" w:firstRowLastColumn="0" w:lastRowFirstColumn="0" w:lastRowLastColumn="0"/>
            </w:pPr>
            <w:r>
              <w:t>25% renal</w:t>
            </w:r>
          </w:p>
          <w:p w14:paraId="089DBC70" w14:textId="77777777" w:rsidR="0030042C" w:rsidRDefault="0030042C" w:rsidP="005F537B">
            <w:pPr>
              <w:cnfStyle w:val="000000100000" w:firstRow="0" w:lastRow="0" w:firstColumn="0" w:lastColumn="0" w:oddVBand="0" w:evenVBand="0" w:oddHBand="1" w:evenHBand="0" w:firstRowFirstColumn="0" w:firstRowLastColumn="0" w:lastRowFirstColumn="0" w:lastRowLastColumn="0"/>
            </w:pPr>
            <w:r>
              <w:t>75% hepática</w:t>
            </w:r>
          </w:p>
        </w:tc>
        <w:tc>
          <w:tcPr>
            <w:tcW w:w="2829" w:type="dxa"/>
          </w:tcPr>
          <w:p w14:paraId="2652DCC5" w14:textId="77777777" w:rsidR="0030042C" w:rsidRDefault="0030042C" w:rsidP="005F537B">
            <w:pPr>
              <w:cnfStyle w:val="000000100000" w:firstRow="0" w:lastRow="0" w:firstColumn="0" w:lastColumn="0" w:oddVBand="0" w:evenVBand="0" w:oddHBand="1" w:evenHBand="0" w:firstRowFirstColumn="0" w:firstRowLastColumn="0" w:lastRowFirstColumn="0" w:lastRowLastColumn="0"/>
            </w:pPr>
            <w:r>
              <w:t>5 mg 2 veces al día</w:t>
            </w:r>
          </w:p>
        </w:tc>
      </w:tr>
      <w:tr w:rsidR="0030042C" w14:paraId="3962F13E" w14:textId="77777777" w:rsidTr="005F537B">
        <w:tc>
          <w:tcPr>
            <w:cnfStyle w:val="001000000000" w:firstRow="0" w:lastRow="0" w:firstColumn="1" w:lastColumn="0" w:oddVBand="0" w:evenVBand="0" w:oddHBand="0" w:evenHBand="0" w:firstRowFirstColumn="0" w:firstRowLastColumn="0" w:lastRowFirstColumn="0" w:lastRowLastColumn="0"/>
            <w:tcW w:w="1838" w:type="dxa"/>
          </w:tcPr>
          <w:p w14:paraId="299477C9" w14:textId="77777777" w:rsidR="0030042C" w:rsidRDefault="0030042C" w:rsidP="005F537B">
            <w:r>
              <w:t>E</w:t>
            </w:r>
            <w:r w:rsidRPr="009B6843">
              <w:t>doxabán</w:t>
            </w:r>
          </w:p>
        </w:tc>
        <w:tc>
          <w:tcPr>
            <w:tcW w:w="1701" w:type="dxa"/>
          </w:tcPr>
          <w:p w14:paraId="3FC41C2E" w14:textId="77777777" w:rsidR="0030042C" w:rsidRDefault="0030042C" w:rsidP="005F537B">
            <w:pPr>
              <w:cnfStyle w:val="000000000000" w:firstRow="0" w:lastRow="0" w:firstColumn="0" w:lastColumn="0" w:oddVBand="0" w:evenVBand="0" w:oddHBand="0" w:evenHBand="0" w:firstRowFirstColumn="0" w:firstRowLastColumn="0" w:lastRowFirstColumn="0" w:lastRowLastColumn="0"/>
            </w:pPr>
            <w:r>
              <w:t>10-14 h</w:t>
            </w:r>
          </w:p>
        </w:tc>
        <w:tc>
          <w:tcPr>
            <w:tcW w:w="2126" w:type="dxa"/>
          </w:tcPr>
          <w:p w14:paraId="6179F975" w14:textId="77777777" w:rsidR="0030042C" w:rsidRDefault="0030042C" w:rsidP="005F537B">
            <w:pPr>
              <w:cnfStyle w:val="000000000000" w:firstRow="0" w:lastRow="0" w:firstColumn="0" w:lastColumn="0" w:oddVBand="0" w:evenVBand="0" w:oddHBand="0" w:evenHBand="0" w:firstRowFirstColumn="0" w:firstRowLastColumn="0" w:lastRowFirstColumn="0" w:lastRowLastColumn="0"/>
            </w:pPr>
            <w:r>
              <w:t>50% renal</w:t>
            </w:r>
          </w:p>
          <w:p w14:paraId="1F63FB29" w14:textId="77777777" w:rsidR="0030042C" w:rsidRDefault="0030042C" w:rsidP="005F537B">
            <w:pPr>
              <w:cnfStyle w:val="000000000000" w:firstRow="0" w:lastRow="0" w:firstColumn="0" w:lastColumn="0" w:oddVBand="0" w:evenVBand="0" w:oddHBand="0" w:evenHBand="0" w:firstRowFirstColumn="0" w:firstRowLastColumn="0" w:lastRowFirstColumn="0" w:lastRowLastColumn="0"/>
            </w:pPr>
            <w:r>
              <w:t>50% hepática</w:t>
            </w:r>
          </w:p>
        </w:tc>
        <w:tc>
          <w:tcPr>
            <w:tcW w:w="2829" w:type="dxa"/>
          </w:tcPr>
          <w:p w14:paraId="59A71ED2" w14:textId="77777777" w:rsidR="0030042C" w:rsidRDefault="0030042C" w:rsidP="005F537B">
            <w:pPr>
              <w:cnfStyle w:val="000000000000" w:firstRow="0" w:lastRow="0" w:firstColumn="0" w:lastColumn="0" w:oddVBand="0" w:evenVBand="0" w:oddHBand="0" w:evenHBand="0" w:firstRowFirstColumn="0" w:firstRowLastColumn="0" w:lastRowFirstColumn="0" w:lastRowLastColumn="0"/>
            </w:pPr>
            <w:r>
              <w:t>60 mg 1 vez al día o</w:t>
            </w:r>
          </w:p>
          <w:p w14:paraId="7B5650B4" w14:textId="77777777" w:rsidR="0030042C" w:rsidRDefault="0030042C" w:rsidP="005F537B">
            <w:pPr>
              <w:cnfStyle w:val="000000000000" w:firstRow="0" w:lastRow="0" w:firstColumn="0" w:lastColumn="0" w:oddVBand="0" w:evenVBand="0" w:oddHBand="0" w:evenHBand="0" w:firstRowFirstColumn="0" w:firstRowLastColumn="0" w:lastRowFirstColumn="0" w:lastRowLastColumn="0"/>
            </w:pPr>
            <w:r>
              <w:t>30 mg 1 vez al día</w:t>
            </w:r>
          </w:p>
        </w:tc>
      </w:tr>
    </w:tbl>
    <w:p w14:paraId="23CDA813" w14:textId="77777777" w:rsidR="0030042C" w:rsidRDefault="0030042C" w:rsidP="0030042C">
      <w:r>
        <w:t>AJ: adultos jóvenes; AM: adultos mayores.</w:t>
      </w:r>
    </w:p>
    <w:p w14:paraId="673969AF" w14:textId="77777777" w:rsidR="009511A9" w:rsidRDefault="009511A9"/>
    <w:sectPr w:rsidR="009511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2C"/>
    <w:rsid w:val="0015009A"/>
    <w:rsid w:val="001C38AE"/>
    <w:rsid w:val="0028766B"/>
    <w:rsid w:val="002E7365"/>
    <w:rsid w:val="002F266F"/>
    <w:rsid w:val="0030042C"/>
    <w:rsid w:val="00332B38"/>
    <w:rsid w:val="00332E0E"/>
    <w:rsid w:val="0034558B"/>
    <w:rsid w:val="0035798B"/>
    <w:rsid w:val="0044037E"/>
    <w:rsid w:val="00610785"/>
    <w:rsid w:val="00614BA2"/>
    <w:rsid w:val="007818DD"/>
    <w:rsid w:val="007C42EF"/>
    <w:rsid w:val="0081315B"/>
    <w:rsid w:val="00826434"/>
    <w:rsid w:val="009511A9"/>
    <w:rsid w:val="00983443"/>
    <w:rsid w:val="0099189C"/>
    <w:rsid w:val="00A4430F"/>
    <w:rsid w:val="00C465AD"/>
    <w:rsid w:val="00D7328F"/>
    <w:rsid w:val="00F54235"/>
    <w:rsid w:val="00F82CFA"/>
    <w:rsid w:val="00FF078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E8575"/>
  <w15:chartTrackingRefBased/>
  <w15:docId w15:val="{C98B4AEB-0EDA-46BA-9038-CB2CF23FD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42C"/>
    <w:pPr>
      <w:spacing w:after="0" w:line="240" w:lineRule="auto"/>
      <w:jc w:val="both"/>
    </w:pPr>
    <w:rPr>
      <w:rFonts w:ascii="Arial" w:hAnsi="Arial"/>
      <w:sz w:val="24"/>
    </w:rPr>
  </w:style>
  <w:style w:type="paragraph" w:styleId="Ttulo1">
    <w:name w:val="heading 1"/>
    <w:basedOn w:val="Normal"/>
    <w:next w:val="Normal"/>
    <w:link w:val="Ttulo1Car"/>
    <w:uiPriority w:val="9"/>
    <w:qFormat/>
    <w:rsid w:val="0028766B"/>
    <w:pPr>
      <w:keepNext/>
      <w:keepLines/>
      <w:spacing w:after="240" w:line="360" w:lineRule="auto"/>
      <w:ind w:firstLine="567"/>
      <w:jc w:val="center"/>
      <w:outlineLvl w:val="0"/>
    </w:pPr>
    <w:rPr>
      <w:rFonts w:eastAsiaTheme="majorEastAsia" w:cstheme="majorBidi"/>
      <w:b/>
      <w:szCs w:val="32"/>
    </w:rPr>
  </w:style>
  <w:style w:type="paragraph" w:styleId="Ttulo2">
    <w:name w:val="heading 2"/>
    <w:basedOn w:val="Normal"/>
    <w:next w:val="Normal"/>
    <w:link w:val="Ttulo2Car"/>
    <w:autoRedefine/>
    <w:uiPriority w:val="9"/>
    <w:unhideWhenUsed/>
    <w:qFormat/>
    <w:rsid w:val="001C38AE"/>
    <w:pPr>
      <w:keepNext/>
      <w:keepLines/>
      <w:spacing w:after="240" w:line="360" w:lineRule="auto"/>
      <w:ind w:firstLine="567"/>
      <w:outlineLvl w:val="1"/>
    </w:pPr>
    <w:rPr>
      <w:rFonts w:eastAsiaTheme="majorEastAsia" w:cstheme="majorBidi"/>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28766B"/>
    <w:rPr>
      <w:rFonts w:ascii="Times New Roman" w:eastAsiaTheme="majorEastAsia" w:hAnsi="Times New Roman" w:cstheme="majorBidi"/>
      <w:b/>
      <w:sz w:val="24"/>
      <w:szCs w:val="32"/>
    </w:rPr>
  </w:style>
  <w:style w:type="character" w:customStyle="1" w:styleId="Ttulo2Car">
    <w:name w:val="Título 2 Car"/>
    <w:basedOn w:val="Fuentedeprrafopredeter"/>
    <w:link w:val="Ttulo2"/>
    <w:uiPriority w:val="9"/>
    <w:rsid w:val="001C38AE"/>
    <w:rPr>
      <w:rFonts w:ascii="Arial" w:eastAsiaTheme="majorEastAsia" w:hAnsi="Arial" w:cstheme="majorBidi"/>
      <w:sz w:val="24"/>
      <w:szCs w:val="26"/>
    </w:rPr>
  </w:style>
  <w:style w:type="table" w:styleId="Tablanormal2">
    <w:name w:val="Plain Table 2"/>
    <w:basedOn w:val="Tablanormal"/>
    <w:uiPriority w:val="42"/>
    <w:rsid w:val="0030042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4069</Words>
  <Characters>22382</Characters>
  <Application>Microsoft Office Word</Application>
  <DocSecurity>0</DocSecurity>
  <Lines>186</Lines>
  <Paragraphs>52</Paragraphs>
  <ScaleCrop>false</ScaleCrop>
  <Company/>
  <LinksUpToDate>false</LinksUpToDate>
  <CharactersWithSpaces>26399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Árbitro</dc:creator>
  <cp:keywords/>
  <dc:description/>
  <cp:lastModifiedBy>Árbitro</cp:lastModifiedBy>
  <cp:revision>1</cp:revision>
  <dcterms:created xsi:type="dcterms:W3CDTF">2022-06-11T01:54:00Z</dcterms:created>
  <dcterms:modified xsi:type="dcterms:W3CDTF">2022-06-11T01:55:00Z</dcterms:modified>
</cp:coreProperties>
</file>