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549" w:rsidRDefault="0048560D" w:rsidP="0048560D">
      <w:pPr>
        <w:ind w:left="-851"/>
      </w:pPr>
      <w:r w:rsidRPr="0048560D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EE033" wp14:editId="313BAE1D">
                <wp:simplePos x="0" y="0"/>
                <wp:positionH relativeFrom="margin">
                  <wp:posOffset>-742950</wp:posOffset>
                </wp:positionH>
                <wp:positionV relativeFrom="paragraph">
                  <wp:posOffset>-128270</wp:posOffset>
                </wp:positionV>
                <wp:extent cx="5638800" cy="307777"/>
                <wp:effectExtent l="0" t="0" r="0" b="0"/>
                <wp:wrapNone/>
                <wp:docPr id="3" name="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560D" w:rsidRPr="0048560D" w:rsidRDefault="0048560D" w:rsidP="0048560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48560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Tabla 1. Agentes antioxidantes y sus respectivos mecanismos de acción.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8EE033" id="_x0000_t202" coordsize="21600,21600" o:spt="202" path="m,l,21600r21600,l21600,xe">
                <v:stroke joinstyle="miter"/>
                <v:path gradientshapeok="t" o:connecttype="rect"/>
              </v:shapetype>
              <v:shape id="2 CuadroTexto" o:spid="_x0000_s1026" type="#_x0000_t202" style="position:absolute;left:0;text-align:left;margin-left:-58.5pt;margin-top:-10.1pt;width:444pt;height:24.2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L5lwEAABEDAAAOAAAAZHJzL2Uyb0RvYy54bWysUttu2zAMfS+wfxD03thNsDYw4hS9oHsZ&#10;1gLtPkCRpViAJWqkEjt/P0pJ02F7G+oHWeLl8PCQq9vJD2JvkByEVl7NailM0NC5sG3lz7eny6UU&#10;lFTo1ADBtPJgSN6uv1ysxtiYOfQwdAYFgwRqxtjKPqXYVBXp3nhFM4gmsNMCepX4iduqQzUyuh+q&#10;eV1fVyNgFxG0IWLr49Ep1wXfWqPTs7VkkhhaydxSObGcm3xW65Vqtqhi7/SJhvoPFl65wEXPUI8q&#10;KbFD9w+UdxqBwKaZBl+BtU6b0gN3c1X/1c1rr6IpvbA4FM8y0efB6h/7FxSua+VCiqA8j2guHnaq&#10;Q3gzU4Is0Bip4bjXyJFpuoeJB/1uJzbmvieLPv+5I8F+lvpwlpdxhGbj1+vFclmzS7NvUd/wl2Gq&#10;j+yIlL4Z8CJfWok8vqKq2n+ndAx9D8nFAjy5Ycj2TPFIJd/StJlOvDfQHZj2yBNuJf3aKTRSYBoe&#10;oCxERqF4t0uMVArk9GPOCZV1LxRPO5IH++e7RH1s8vo3AAAA//8DAFBLAwQUAAYACAAAACEADJNN&#10;Sd8AAAALAQAADwAAAGRycy9kb3ducmV2LnhtbEyPzU7DMBCE70i8g7VI3Fo7QZAqxKkqfiQOXGjD&#10;3Y2XOCJeR7HbpG/PcoLb7s5o9ptqu/hBnHGKfSAN2VqBQGqD7anT0BxeVxsQMRmyZgiEGi4YYVtf&#10;X1WmtGGmDzzvUyc4hGJpNLiUxlLK2Dr0Jq7DiMTaV5i8SbxOnbSTmTncDzJX6kF60xN/cGbEJ4ft&#10;9/7kNaRkd9mlefHx7XN5f56dau9No/XtzbJ7BJFwSX9m+MVndKiZ6RhOZKMYNKyyrOAyiadc5SDY&#10;UhQZX44a8s0dyLqS/zvUPwAAAP//AwBQSwECLQAUAAYACAAAACEAtoM4kv4AAADhAQAAEwAAAAAA&#10;AAAAAAAAAAAAAAAAW0NvbnRlbnRfVHlwZXNdLnhtbFBLAQItABQABgAIAAAAIQA4/SH/1gAAAJQB&#10;AAALAAAAAAAAAAAAAAAAAC8BAABfcmVscy8ucmVsc1BLAQItABQABgAIAAAAIQDPIjL5lwEAABED&#10;AAAOAAAAAAAAAAAAAAAAAC4CAABkcnMvZTJvRG9jLnhtbFBLAQItABQABgAIAAAAIQAMk01J3wAA&#10;AAsBAAAPAAAAAAAAAAAAAAAAAPEDAABkcnMvZG93bnJldi54bWxQSwUGAAAAAAQABADzAAAA/QQA&#10;AAAA&#10;" filled="f" stroked="f">
                <v:textbox style="mso-fit-shape-to-text:t">
                  <w:txbxContent>
                    <w:p w:rsidR="0048560D" w:rsidRPr="0048560D" w:rsidRDefault="0048560D" w:rsidP="0048560D">
                      <w:pPr>
                        <w:pStyle w:val="NormalWeb"/>
                        <w:spacing w:before="0" w:beforeAutospacing="0" w:after="0" w:afterAutospacing="0"/>
                      </w:pPr>
                      <w:r w:rsidRPr="0048560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Tabla 1. Agentes antioxidantes y sus respectivos mecanismos de acción.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</w:t>
      </w:r>
    </w:p>
    <w:tbl>
      <w:tblPr>
        <w:tblW w:w="10944" w:type="dxa"/>
        <w:tblInd w:w="-123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33"/>
        <w:gridCol w:w="8911"/>
      </w:tblGrid>
      <w:tr w:rsidR="0048560D" w:rsidRPr="0048560D" w:rsidTr="0048560D">
        <w:trPr>
          <w:trHeight w:val="555"/>
        </w:trPr>
        <w:tc>
          <w:tcPr>
            <w:tcW w:w="20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452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560D" w:rsidRDefault="0048560D" w:rsidP="0048560D">
            <w:pPr>
              <w:ind w:left="545"/>
              <w:jc w:val="center"/>
              <w:rPr>
                <w:b/>
                <w:bCs/>
                <w:color w:val="FFFFFF" w:themeColor="background1"/>
              </w:rPr>
            </w:pPr>
          </w:p>
          <w:p w:rsidR="0048560D" w:rsidRPr="0048560D" w:rsidRDefault="0048560D" w:rsidP="0048560D">
            <w:pPr>
              <w:jc w:val="center"/>
              <w:rPr>
                <w:color w:val="FFFFFF" w:themeColor="background1"/>
              </w:rPr>
            </w:pPr>
            <w:r w:rsidRPr="0048560D">
              <w:rPr>
                <w:b/>
                <w:bCs/>
                <w:color w:val="FFFFFF" w:themeColor="background1"/>
              </w:rPr>
              <w:t>Agentes antioxidantes</w:t>
            </w:r>
          </w:p>
        </w:tc>
        <w:tc>
          <w:tcPr>
            <w:tcW w:w="89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A452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560D" w:rsidRDefault="0048560D" w:rsidP="0048560D">
            <w:pPr>
              <w:jc w:val="center"/>
              <w:rPr>
                <w:b/>
                <w:bCs/>
                <w:color w:val="FFFFFF" w:themeColor="background1"/>
              </w:rPr>
            </w:pPr>
          </w:p>
          <w:p w:rsidR="0048560D" w:rsidRPr="0048560D" w:rsidRDefault="0048560D" w:rsidP="0048560D">
            <w:pPr>
              <w:jc w:val="center"/>
              <w:rPr>
                <w:color w:val="FFFFFF" w:themeColor="background1"/>
              </w:rPr>
            </w:pPr>
            <w:r w:rsidRPr="0048560D">
              <w:rPr>
                <w:b/>
                <w:bCs/>
                <w:color w:val="FFFFFF" w:themeColor="background1"/>
              </w:rPr>
              <w:t>Mecanismos de acción</w:t>
            </w:r>
          </w:p>
        </w:tc>
      </w:tr>
      <w:tr w:rsidR="0048560D" w:rsidRPr="0048560D" w:rsidTr="0048560D">
        <w:trPr>
          <w:trHeight w:val="555"/>
        </w:trPr>
        <w:tc>
          <w:tcPr>
            <w:tcW w:w="20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560D" w:rsidRPr="0048560D" w:rsidRDefault="0048560D" w:rsidP="0048560D">
            <w:pPr>
              <w:jc w:val="center"/>
            </w:pPr>
            <w:r w:rsidRPr="0048560D">
              <w:rPr>
                <w:b/>
                <w:bCs/>
              </w:rPr>
              <w:t xml:space="preserve">N - </w:t>
            </w:r>
            <w:proofErr w:type="spellStart"/>
            <w:r w:rsidRPr="0048560D">
              <w:rPr>
                <w:b/>
                <w:bCs/>
              </w:rPr>
              <w:t>acetilcisteina</w:t>
            </w:r>
            <w:proofErr w:type="spellEnd"/>
          </w:p>
        </w:tc>
        <w:tc>
          <w:tcPr>
            <w:tcW w:w="89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560D" w:rsidRPr="0048560D" w:rsidRDefault="0048560D" w:rsidP="0048560D">
            <w:pPr>
              <w:jc w:val="center"/>
            </w:pPr>
            <w:r w:rsidRPr="0048560D">
              <w:rPr>
                <w:b/>
                <w:bCs/>
                <w:lang w:val="en-US"/>
              </w:rPr>
              <w:t xml:space="preserve">El  precursor  del  </w:t>
            </w:r>
            <w:proofErr w:type="spellStart"/>
            <w:r w:rsidRPr="0048560D">
              <w:rPr>
                <w:b/>
                <w:bCs/>
                <w:lang w:val="en-US"/>
              </w:rPr>
              <w:t>glutation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 y  </w:t>
            </w:r>
            <w:proofErr w:type="spellStart"/>
            <w:r w:rsidRPr="0048560D">
              <w:rPr>
                <w:b/>
                <w:bCs/>
                <w:lang w:val="en-US"/>
              </w:rPr>
              <w:t>su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 </w:t>
            </w:r>
            <w:proofErr w:type="spellStart"/>
            <w:r w:rsidRPr="0048560D">
              <w:rPr>
                <w:b/>
                <w:bCs/>
                <w:lang w:val="en-US"/>
              </w:rPr>
              <w:t>resto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 </w:t>
            </w:r>
            <w:proofErr w:type="spellStart"/>
            <w:r w:rsidRPr="0048560D">
              <w:rPr>
                <w:b/>
                <w:bCs/>
                <w:lang w:val="en-US"/>
              </w:rPr>
              <w:t>tiol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 </w:t>
            </w:r>
            <w:proofErr w:type="spellStart"/>
            <w:r w:rsidRPr="0048560D">
              <w:rPr>
                <w:b/>
                <w:bCs/>
                <w:lang w:val="en-US"/>
              </w:rPr>
              <w:t>reducen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 los  </w:t>
            </w:r>
            <w:proofErr w:type="spellStart"/>
            <w:r w:rsidRPr="0048560D">
              <w:rPr>
                <w:b/>
                <w:bCs/>
                <w:lang w:val="en-US"/>
              </w:rPr>
              <w:t>oxida</w:t>
            </w:r>
            <w:bookmarkStart w:id="0" w:name="_GoBack"/>
            <w:bookmarkEnd w:id="0"/>
            <w:r w:rsidRPr="0048560D">
              <w:rPr>
                <w:b/>
                <w:bCs/>
                <w:lang w:val="en-US"/>
              </w:rPr>
              <w:t>ntes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 </w:t>
            </w:r>
            <w:proofErr w:type="spellStart"/>
            <w:r w:rsidRPr="0048560D">
              <w:rPr>
                <w:b/>
                <w:bCs/>
                <w:lang w:val="en-US"/>
              </w:rPr>
              <w:t>biológicos</w:t>
            </w:r>
            <w:proofErr w:type="spellEnd"/>
            <w:r w:rsidRPr="0048560D">
              <w:rPr>
                <w:b/>
                <w:bCs/>
                <w:lang w:val="en-US"/>
              </w:rPr>
              <w:t>.</w:t>
            </w:r>
          </w:p>
        </w:tc>
      </w:tr>
      <w:tr w:rsidR="0048560D" w:rsidRPr="0048560D" w:rsidTr="0048560D">
        <w:trPr>
          <w:trHeight w:val="555"/>
        </w:trPr>
        <w:tc>
          <w:tcPr>
            <w:tcW w:w="2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560D" w:rsidRPr="0048560D" w:rsidRDefault="0048560D" w:rsidP="0048560D">
            <w:pPr>
              <w:jc w:val="center"/>
            </w:pPr>
            <w:proofErr w:type="spellStart"/>
            <w:r w:rsidRPr="0048560D">
              <w:rPr>
                <w:b/>
                <w:bCs/>
              </w:rPr>
              <w:t>Amifostina</w:t>
            </w:r>
            <w:proofErr w:type="spellEnd"/>
          </w:p>
        </w:tc>
        <w:tc>
          <w:tcPr>
            <w:tcW w:w="8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560D" w:rsidRPr="0048560D" w:rsidRDefault="0048560D" w:rsidP="0048560D">
            <w:pPr>
              <w:jc w:val="center"/>
            </w:pPr>
            <w:proofErr w:type="spellStart"/>
            <w:r w:rsidRPr="0048560D">
              <w:rPr>
                <w:b/>
                <w:bCs/>
                <w:lang w:val="en-US"/>
              </w:rPr>
              <w:t>Profármaco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 del  </w:t>
            </w:r>
            <w:proofErr w:type="spellStart"/>
            <w:r w:rsidRPr="0048560D">
              <w:rPr>
                <w:b/>
                <w:bCs/>
                <w:lang w:val="en-US"/>
              </w:rPr>
              <w:t>tiofosfato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 </w:t>
            </w:r>
            <w:proofErr w:type="spellStart"/>
            <w:r w:rsidRPr="0048560D">
              <w:rPr>
                <w:b/>
                <w:bCs/>
                <w:lang w:val="en-US"/>
              </w:rPr>
              <w:t>inorgánico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 </w:t>
            </w:r>
            <w:proofErr w:type="spellStart"/>
            <w:r w:rsidRPr="0048560D">
              <w:rPr>
                <w:b/>
                <w:bCs/>
                <w:lang w:val="en-US"/>
              </w:rPr>
              <w:t>que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 se  </w:t>
            </w:r>
            <w:proofErr w:type="spellStart"/>
            <w:r w:rsidRPr="0048560D">
              <w:rPr>
                <w:b/>
                <w:bCs/>
                <w:lang w:val="en-US"/>
              </w:rPr>
              <w:t>desfosforila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,  </w:t>
            </w:r>
            <w:proofErr w:type="spellStart"/>
            <w:r w:rsidRPr="0048560D">
              <w:rPr>
                <w:b/>
                <w:bCs/>
                <w:lang w:val="en-US"/>
              </w:rPr>
              <w:t>por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8560D">
              <w:rPr>
                <w:b/>
                <w:bCs/>
                <w:lang w:val="en-US"/>
              </w:rPr>
              <w:t>intermedio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 de  </w:t>
            </w:r>
            <w:proofErr w:type="spellStart"/>
            <w:r w:rsidRPr="0048560D">
              <w:rPr>
                <w:b/>
                <w:bCs/>
                <w:lang w:val="en-US"/>
              </w:rPr>
              <w:t>fosfatasas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 </w:t>
            </w:r>
            <w:proofErr w:type="spellStart"/>
            <w:r w:rsidRPr="0048560D">
              <w:rPr>
                <w:b/>
                <w:bCs/>
                <w:lang w:val="en-US"/>
              </w:rPr>
              <w:t>alcalinas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,  a  un  </w:t>
            </w:r>
            <w:proofErr w:type="spellStart"/>
            <w:r w:rsidRPr="0048560D">
              <w:rPr>
                <w:b/>
                <w:bCs/>
                <w:lang w:val="en-US"/>
              </w:rPr>
              <w:t>metabolito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 </w:t>
            </w:r>
            <w:proofErr w:type="spellStart"/>
            <w:r w:rsidRPr="0048560D">
              <w:rPr>
                <w:b/>
                <w:bCs/>
                <w:lang w:val="en-US"/>
              </w:rPr>
              <w:t>activo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 </w:t>
            </w:r>
            <w:proofErr w:type="spellStart"/>
            <w:r w:rsidRPr="0048560D">
              <w:rPr>
                <w:b/>
                <w:bCs/>
                <w:lang w:val="en-US"/>
              </w:rPr>
              <w:t>que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 </w:t>
            </w:r>
            <w:proofErr w:type="spellStart"/>
            <w:r w:rsidRPr="0048560D">
              <w:rPr>
                <w:b/>
                <w:bCs/>
                <w:lang w:val="en-US"/>
              </w:rPr>
              <w:t>contiene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 </w:t>
            </w:r>
            <w:proofErr w:type="spellStart"/>
            <w:r w:rsidRPr="0048560D">
              <w:rPr>
                <w:b/>
                <w:bCs/>
                <w:lang w:val="en-US"/>
              </w:rPr>
              <w:t>tiol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 con </w:t>
            </w:r>
            <w:proofErr w:type="spellStart"/>
            <w:r w:rsidRPr="0048560D">
              <w:rPr>
                <w:b/>
                <w:bCs/>
                <w:lang w:val="en-US"/>
              </w:rPr>
              <w:t>propiedades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 </w:t>
            </w:r>
            <w:proofErr w:type="spellStart"/>
            <w:r w:rsidRPr="0048560D">
              <w:rPr>
                <w:b/>
                <w:bCs/>
                <w:lang w:val="en-US"/>
              </w:rPr>
              <w:t>antioxidantes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. </w:t>
            </w:r>
          </w:p>
        </w:tc>
      </w:tr>
      <w:tr w:rsidR="0048560D" w:rsidRPr="0048560D" w:rsidTr="0048560D">
        <w:trPr>
          <w:trHeight w:val="555"/>
        </w:trPr>
        <w:tc>
          <w:tcPr>
            <w:tcW w:w="2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560D" w:rsidRPr="0048560D" w:rsidRDefault="0048560D" w:rsidP="0048560D">
            <w:pPr>
              <w:jc w:val="center"/>
            </w:pPr>
            <w:r w:rsidRPr="0048560D">
              <w:rPr>
                <w:b/>
                <w:bCs/>
              </w:rPr>
              <w:t xml:space="preserve">L – </w:t>
            </w:r>
            <w:proofErr w:type="spellStart"/>
            <w:r w:rsidRPr="0048560D">
              <w:rPr>
                <w:b/>
                <w:bCs/>
              </w:rPr>
              <w:t>carnitina</w:t>
            </w:r>
            <w:proofErr w:type="spellEnd"/>
            <w:r w:rsidRPr="0048560D">
              <w:rPr>
                <w:b/>
                <w:bCs/>
              </w:rPr>
              <w:t xml:space="preserve"> </w:t>
            </w:r>
          </w:p>
        </w:tc>
        <w:tc>
          <w:tcPr>
            <w:tcW w:w="8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560D" w:rsidRPr="0048560D" w:rsidRDefault="0048560D" w:rsidP="0048560D">
            <w:pPr>
              <w:jc w:val="center"/>
            </w:pPr>
            <w:r w:rsidRPr="0048560D">
              <w:rPr>
                <w:b/>
                <w:bCs/>
              </w:rPr>
              <w:t xml:space="preserve">Facilita  el  transporte de ácidos grasos  a  la matriz  mitocondrial  y desempeña  papel  en  la disminución  de la  </w:t>
            </w:r>
            <w:proofErr w:type="spellStart"/>
            <w:r w:rsidRPr="0048560D">
              <w:rPr>
                <w:b/>
                <w:bCs/>
              </w:rPr>
              <w:t>peroxidación</w:t>
            </w:r>
            <w:proofErr w:type="spellEnd"/>
            <w:r w:rsidRPr="0048560D">
              <w:rPr>
                <w:b/>
                <w:bCs/>
              </w:rPr>
              <w:t xml:space="preserve">  lipídica en  el miocardio. </w:t>
            </w:r>
          </w:p>
        </w:tc>
      </w:tr>
      <w:tr w:rsidR="0048560D" w:rsidRPr="0048560D" w:rsidTr="0048560D">
        <w:trPr>
          <w:trHeight w:val="555"/>
        </w:trPr>
        <w:tc>
          <w:tcPr>
            <w:tcW w:w="2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560D" w:rsidRPr="0048560D" w:rsidRDefault="0048560D" w:rsidP="0048560D">
            <w:pPr>
              <w:jc w:val="center"/>
            </w:pPr>
            <w:proofErr w:type="spellStart"/>
            <w:r w:rsidRPr="0048560D">
              <w:rPr>
                <w:b/>
                <w:bCs/>
              </w:rPr>
              <w:t>Carvedilol</w:t>
            </w:r>
            <w:proofErr w:type="spellEnd"/>
          </w:p>
        </w:tc>
        <w:tc>
          <w:tcPr>
            <w:tcW w:w="8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560D" w:rsidRPr="0048560D" w:rsidRDefault="0048560D" w:rsidP="0048560D">
            <w:pPr>
              <w:jc w:val="center"/>
            </w:pPr>
            <w:r w:rsidRPr="0048560D">
              <w:rPr>
                <w:b/>
                <w:bCs/>
                <w:lang w:val="el-GR"/>
              </w:rPr>
              <w:t>Β</w:t>
            </w:r>
            <w:r w:rsidRPr="0048560D">
              <w:rPr>
                <w:b/>
                <w:bCs/>
              </w:rPr>
              <w:t xml:space="preserve">  bloqueador  </w:t>
            </w:r>
            <w:proofErr w:type="spellStart"/>
            <w:r w:rsidRPr="0048560D">
              <w:rPr>
                <w:b/>
                <w:bCs/>
              </w:rPr>
              <w:t>cardioselectivo</w:t>
            </w:r>
            <w:proofErr w:type="spellEnd"/>
            <w:r w:rsidRPr="0048560D">
              <w:rPr>
                <w:b/>
                <w:bCs/>
              </w:rPr>
              <w:t xml:space="preserve">  con  propiedades  antioxidantes. </w:t>
            </w:r>
          </w:p>
        </w:tc>
      </w:tr>
      <w:tr w:rsidR="0048560D" w:rsidRPr="0048560D" w:rsidTr="0048560D">
        <w:trPr>
          <w:trHeight w:val="555"/>
        </w:trPr>
        <w:tc>
          <w:tcPr>
            <w:tcW w:w="2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560D" w:rsidRPr="0048560D" w:rsidRDefault="0048560D" w:rsidP="0048560D">
            <w:pPr>
              <w:jc w:val="center"/>
            </w:pPr>
            <w:r w:rsidRPr="0048560D">
              <w:rPr>
                <w:b/>
                <w:bCs/>
              </w:rPr>
              <w:t>Coenzima Q10</w:t>
            </w:r>
          </w:p>
        </w:tc>
        <w:tc>
          <w:tcPr>
            <w:tcW w:w="8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560D" w:rsidRPr="0048560D" w:rsidRDefault="0048560D" w:rsidP="0048560D">
            <w:pPr>
              <w:jc w:val="center"/>
            </w:pPr>
            <w:r w:rsidRPr="0048560D">
              <w:rPr>
                <w:b/>
                <w:bCs/>
                <w:lang w:val="en-US"/>
              </w:rPr>
              <w:t xml:space="preserve">La </w:t>
            </w:r>
            <w:proofErr w:type="spellStart"/>
            <w:r w:rsidRPr="0048560D">
              <w:rPr>
                <w:b/>
                <w:bCs/>
                <w:lang w:val="en-US"/>
              </w:rPr>
              <w:t>coenzima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</w:t>
            </w:r>
            <w:proofErr w:type="gramStart"/>
            <w:r w:rsidRPr="0048560D">
              <w:rPr>
                <w:b/>
                <w:bCs/>
                <w:lang w:val="en-US"/>
              </w:rPr>
              <w:t xml:space="preserve">Q  </w:t>
            </w:r>
            <w:proofErr w:type="spellStart"/>
            <w:r w:rsidRPr="0048560D">
              <w:rPr>
                <w:b/>
                <w:bCs/>
                <w:lang w:val="en-US"/>
              </w:rPr>
              <w:t>es</w:t>
            </w:r>
            <w:proofErr w:type="spellEnd"/>
            <w:proofErr w:type="gramEnd"/>
            <w:r w:rsidRPr="0048560D">
              <w:rPr>
                <w:b/>
                <w:bCs/>
                <w:lang w:val="en-US"/>
              </w:rPr>
              <w:t xml:space="preserve">  parte </w:t>
            </w:r>
            <w:proofErr w:type="spellStart"/>
            <w:r w:rsidRPr="0048560D">
              <w:rPr>
                <w:b/>
                <w:bCs/>
                <w:lang w:val="en-US"/>
              </w:rPr>
              <w:t>importante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de la  </w:t>
            </w:r>
            <w:proofErr w:type="spellStart"/>
            <w:r w:rsidRPr="0048560D">
              <w:rPr>
                <w:b/>
                <w:bCs/>
                <w:lang w:val="en-US"/>
              </w:rPr>
              <w:t>cadena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 </w:t>
            </w:r>
            <w:proofErr w:type="spellStart"/>
            <w:r w:rsidRPr="0048560D">
              <w:rPr>
                <w:b/>
                <w:bCs/>
                <w:lang w:val="en-US"/>
              </w:rPr>
              <w:t>respiratoria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 </w:t>
            </w:r>
            <w:proofErr w:type="spellStart"/>
            <w:r w:rsidRPr="0048560D">
              <w:rPr>
                <w:b/>
                <w:bCs/>
                <w:lang w:val="en-US"/>
              </w:rPr>
              <w:t>mitocondrial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. La </w:t>
            </w:r>
            <w:proofErr w:type="spellStart"/>
            <w:proofErr w:type="gramStart"/>
            <w:r w:rsidRPr="0048560D">
              <w:rPr>
                <w:b/>
                <w:bCs/>
                <w:lang w:val="en-US"/>
              </w:rPr>
              <w:t>suplementación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 con</w:t>
            </w:r>
            <w:proofErr w:type="gramEnd"/>
            <w:r w:rsidRPr="0048560D">
              <w:rPr>
                <w:b/>
                <w:bCs/>
                <w:lang w:val="en-US"/>
              </w:rPr>
              <w:t xml:space="preserve">  </w:t>
            </w:r>
            <w:proofErr w:type="spellStart"/>
            <w:r w:rsidRPr="0048560D">
              <w:rPr>
                <w:b/>
                <w:bCs/>
                <w:lang w:val="en-US"/>
              </w:rPr>
              <w:t>coenzima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 Q  </w:t>
            </w:r>
            <w:proofErr w:type="spellStart"/>
            <w:r w:rsidRPr="0048560D">
              <w:rPr>
                <w:b/>
                <w:bCs/>
                <w:lang w:val="en-US"/>
              </w:rPr>
              <w:t>previene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 la  </w:t>
            </w:r>
            <w:proofErr w:type="spellStart"/>
            <w:r w:rsidRPr="0048560D">
              <w:rPr>
                <w:b/>
                <w:bCs/>
                <w:lang w:val="en-US"/>
              </w:rPr>
              <w:t>cardiotoxicidad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 </w:t>
            </w:r>
            <w:proofErr w:type="spellStart"/>
            <w:r w:rsidRPr="0048560D">
              <w:rPr>
                <w:b/>
                <w:bCs/>
                <w:lang w:val="en-US"/>
              </w:rPr>
              <w:t>inducida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 </w:t>
            </w:r>
            <w:proofErr w:type="spellStart"/>
            <w:r w:rsidRPr="0048560D">
              <w:rPr>
                <w:b/>
                <w:bCs/>
                <w:lang w:val="en-US"/>
              </w:rPr>
              <w:t>por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 </w:t>
            </w:r>
            <w:proofErr w:type="spellStart"/>
            <w:r w:rsidRPr="0048560D">
              <w:rPr>
                <w:b/>
                <w:bCs/>
                <w:lang w:val="en-US"/>
              </w:rPr>
              <w:t>antraciclinas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. </w:t>
            </w:r>
          </w:p>
        </w:tc>
      </w:tr>
      <w:tr w:rsidR="0048560D" w:rsidRPr="0048560D" w:rsidTr="0048560D">
        <w:trPr>
          <w:trHeight w:val="555"/>
        </w:trPr>
        <w:tc>
          <w:tcPr>
            <w:tcW w:w="2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560D" w:rsidRPr="0048560D" w:rsidRDefault="0048560D" w:rsidP="0048560D">
            <w:pPr>
              <w:jc w:val="center"/>
            </w:pPr>
            <w:proofErr w:type="spellStart"/>
            <w:r w:rsidRPr="0048560D">
              <w:rPr>
                <w:b/>
                <w:bCs/>
              </w:rPr>
              <w:t>Dexrazoxano</w:t>
            </w:r>
            <w:proofErr w:type="spellEnd"/>
          </w:p>
        </w:tc>
        <w:tc>
          <w:tcPr>
            <w:tcW w:w="8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560D" w:rsidRPr="0048560D" w:rsidRDefault="0048560D" w:rsidP="0048560D">
            <w:pPr>
              <w:jc w:val="center"/>
            </w:pPr>
            <w:proofErr w:type="spellStart"/>
            <w:r w:rsidRPr="0048560D">
              <w:rPr>
                <w:b/>
                <w:bCs/>
                <w:lang w:val="en-US"/>
              </w:rPr>
              <w:t>Es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un </w:t>
            </w:r>
            <w:proofErr w:type="spellStart"/>
            <w:r w:rsidRPr="0048560D">
              <w:rPr>
                <w:b/>
                <w:bCs/>
                <w:lang w:val="en-US"/>
              </w:rPr>
              <w:t>agente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8560D">
              <w:rPr>
                <w:b/>
                <w:bCs/>
                <w:lang w:val="en-US"/>
              </w:rPr>
              <w:t>quelante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8560D">
              <w:rPr>
                <w:b/>
                <w:bCs/>
                <w:lang w:val="en-US"/>
              </w:rPr>
              <w:t>que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se </w:t>
            </w:r>
            <w:proofErr w:type="spellStart"/>
            <w:r w:rsidRPr="0048560D">
              <w:rPr>
                <w:b/>
                <w:bCs/>
                <w:lang w:val="en-US"/>
              </w:rPr>
              <w:t>une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al </w:t>
            </w:r>
            <w:proofErr w:type="spellStart"/>
            <w:r w:rsidRPr="0048560D">
              <w:rPr>
                <w:b/>
                <w:bCs/>
                <w:lang w:val="en-US"/>
              </w:rPr>
              <w:t>hierro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8560D">
              <w:rPr>
                <w:b/>
                <w:bCs/>
                <w:lang w:val="en-US"/>
              </w:rPr>
              <w:t>por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8560D">
              <w:rPr>
                <w:b/>
                <w:bCs/>
                <w:lang w:val="en-US"/>
              </w:rPr>
              <w:t>vía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8560D">
              <w:rPr>
                <w:b/>
                <w:bCs/>
                <w:lang w:val="en-US"/>
              </w:rPr>
              <w:t>intracelular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, se vincula al </w:t>
            </w:r>
            <w:proofErr w:type="spellStart"/>
            <w:r w:rsidRPr="0048560D">
              <w:rPr>
                <w:b/>
                <w:bCs/>
                <w:lang w:val="en-US"/>
              </w:rPr>
              <w:t>mencionado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8560D">
              <w:rPr>
                <w:b/>
                <w:bCs/>
                <w:lang w:val="en-US"/>
              </w:rPr>
              <w:t>elemento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en </w:t>
            </w:r>
            <w:proofErr w:type="gramStart"/>
            <w:r w:rsidRPr="0048560D">
              <w:rPr>
                <w:b/>
                <w:bCs/>
                <w:lang w:val="en-US"/>
              </w:rPr>
              <w:t>el  interior</w:t>
            </w:r>
            <w:proofErr w:type="gramEnd"/>
            <w:r w:rsidRPr="0048560D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48560D">
              <w:rPr>
                <w:b/>
                <w:bCs/>
                <w:lang w:val="en-US"/>
              </w:rPr>
              <w:t>las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8560D">
              <w:rPr>
                <w:b/>
                <w:bCs/>
                <w:lang w:val="en-US"/>
              </w:rPr>
              <w:t>células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del </w:t>
            </w:r>
            <w:proofErr w:type="spellStart"/>
            <w:r w:rsidRPr="0048560D">
              <w:rPr>
                <w:b/>
                <w:bCs/>
                <w:lang w:val="en-US"/>
              </w:rPr>
              <w:t>miocardio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 y lo </w:t>
            </w:r>
            <w:proofErr w:type="spellStart"/>
            <w:r w:rsidRPr="0048560D">
              <w:rPr>
                <w:b/>
                <w:bCs/>
                <w:lang w:val="en-US"/>
              </w:rPr>
              <w:t>separa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de los </w:t>
            </w:r>
            <w:proofErr w:type="spellStart"/>
            <w:r w:rsidRPr="0048560D">
              <w:rPr>
                <w:b/>
                <w:bCs/>
                <w:lang w:val="en-US"/>
              </w:rPr>
              <w:t>complejos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     </w:t>
            </w:r>
            <w:proofErr w:type="spellStart"/>
            <w:r w:rsidRPr="0048560D">
              <w:rPr>
                <w:b/>
                <w:bCs/>
                <w:lang w:val="en-US"/>
              </w:rPr>
              <w:t>antraciclinas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 – </w:t>
            </w:r>
            <w:proofErr w:type="spellStart"/>
            <w:r w:rsidRPr="0048560D">
              <w:rPr>
                <w:b/>
                <w:bCs/>
                <w:lang w:val="en-US"/>
              </w:rPr>
              <w:t>hierro</w:t>
            </w:r>
            <w:proofErr w:type="spellEnd"/>
            <w:r w:rsidRPr="0048560D">
              <w:rPr>
                <w:b/>
                <w:bCs/>
                <w:lang w:val="en-US"/>
              </w:rPr>
              <w:t xml:space="preserve">.  </w:t>
            </w:r>
          </w:p>
        </w:tc>
      </w:tr>
      <w:tr w:rsidR="0048560D" w:rsidRPr="0048560D" w:rsidTr="0048560D">
        <w:trPr>
          <w:trHeight w:val="555"/>
        </w:trPr>
        <w:tc>
          <w:tcPr>
            <w:tcW w:w="2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560D" w:rsidRPr="0048560D" w:rsidRDefault="0048560D" w:rsidP="0048560D">
            <w:pPr>
              <w:jc w:val="center"/>
            </w:pPr>
            <w:r w:rsidRPr="0048560D">
              <w:rPr>
                <w:b/>
                <w:bCs/>
              </w:rPr>
              <w:t>Melatonina</w:t>
            </w:r>
          </w:p>
        </w:tc>
        <w:tc>
          <w:tcPr>
            <w:tcW w:w="8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560D" w:rsidRPr="0048560D" w:rsidRDefault="0048560D" w:rsidP="0048560D">
            <w:pPr>
              <w:jc w:val="center"/>
            </w:pPr>
            <w:r w:rsidRPr="0048560D">
              <w:rPr>
                <w:b/>
                <w:bCs/>
              </w:rPr>
              <w:t xml:space="preserve">Hormona que regula el ciclo sueño – vigilia. Es liberada por la glándula pineal. Muchos de sus efectos se originan a través de la activación de receptores específicos mientras que otros se deben al papel que juega como antioxidante. La melatonina protege contra el daño celular inducido por la radiación.  </w:t>
            </w:r>
          </w:p>
        </w:tc>
      </w:tr>
      <w:tr w:rsidR="0048560D" w:rsidRPr="0048560D" w:rsidTr="0048560D">
        <w:trPr>
          <w:trHeight w:val="555"/>
        </w:trPr>
        <w:tc>
          <w:tcPr>
            <w:tcW w:w="2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560D" w:rsidRPr="0048560D" w:rsidRDefault="0048560D" w:rsidP="0048560D">
            <w:pPr>
              <w:jc w:val="center"/>
            </w:pPr>
            <w:proofErr w:type="spellStart"/>
            <w:r w:rsidRPr="0048560D">
              <w:rPr>
                <w:b/>
                <w:bCs/>
              </w:rPr>
              <w:t>Estatinas</w:t>
            </w:r>
            <w:proofErr w:type="spellEnd"/>
          </w:p>
        </w:tc>
        <w:tc>
          <w:tcPr>
            <w:tcW w:w="8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560D" w:rsidRPr="0048560D" w:rsidRDefault="0048560D" w:rsidP="0048560D">
            <w:pPr>
              <w:jc w:val="center"/>
            </w:pPr>
            <w:r w:rsidRPr="0048560D">
              <w:rPr>
                <w:b/>
                <w:bCs/>
              </w:rPr>
              <w:t xml:space="preserve">Los efectos antiinflamatorios y antioxidantes de las </w:t>
            </w:r>
            <w:proofErr w:type="spellStart"/>
            <w:r w:rsidRPr="0048560D">
              <w:rPr>
                <w:b/>
                <w:bCs/>
              </w:rPr>
              <w:t>estatinas</w:t>
            </w:r>
            <w:proofErr w:type="spellEnd"/>
            <w:r w:rsidRPr="0048560D">
              <w:rPr>
                <w:b/>
                <w:bCs/>
              </w:rPr>
              <w:t xml:space="preserve"> ofrecen futuro promisorio respecto a una posible terapia </w:t>
            </w:r>
            <w:proofErr w:type="spellStart"/>
            <w:r w:rsidRPr="0048560D">
              <w:rPr>
                <w:b/>
                <w:bCs/>
              </w:rPr>
              <w:t>cardioprotectora</w:t>
            </w:r>
            <w:proofErr w:type="spellEnd"/>
            <w:r w:rsidRPr="0048560D">
              <w:rPr>
                <w:b/>
                <w:bCs/>
              </w:rPr>
              <w:t xml:space="preserve"> contra la disfunción cardíaca vinculada a la terapéutica oncológica. </w:t>
            </w:r>
          </w:p>
        </w:tc>
      </w:tr>
      <w:tr w:rsidR="0048560D" w:rsidRPr="0048560D" w:rsidTr="0048560D">
        <w:trPr>
          <w:trHeight w:val="555"/>
        </w:trPr>
        <w:tc>
          <w:tcPr>
            <w:tcW w:w="20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560D" w:rsidRPr="0048560D" w:rsidRDefault="0048560D" w:rsidP="0048560D">
            <w:pPr>
              <w:jc w:val="center"/>
            </w:pPr>
            <w:r w:rsidRPr="0048560D">
              <w:rPr>
                <w:b/>
                <w:bCs/>
              </w:rPr>
              <w:t>Glutatión</w:t>
            </w:r>
          </w:p>
        </w:tc>
        <w:tc>
          <w:tcPr>
            <w:tcW w:w="8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560D" w:rsidRPr="0048560D" w:rsidRDefault="0048560D" w:rsidP="0048560D">
            <w:pPr>
              <w:jc w:val="center"/>
            </w:pPr>
            <w:r w:rsidRPr="0048560D">
              <w:rPr>
                <w:b/>
                <w:bCs/>
              </w:rPr>
              <w:t xml:space="preserve">El glutatión es un </w:t>
            </w:r>
            <w:proofErr w:type="spellStart"/>
            <w:r w:rsidRPr="0048560D">
              <w:rPr>
                <w:b/>
                <w:bCs/>
              </w:rPr>
              <w:t>tripéptido</w:t>
            </w:r>
            <w:proofErr w:type="spellEnd"/>
            <w:r w:rsidRPr="0048560D">
              <w:rPr>
                <w:b/>
                <w:bCs/>
              </w:rPr>
              <w:t xml:space="preserve"> </w:t>
            </w:r>
            <w:proofErr w:type="spellStart"/>
            <w:r w:rsidRPr="0048560D">
              <w:rPr>
                <w:b/>
                <w:bCs/>
              </w:rPr>
              <w:t>tiol</w:t>
            </w:r>
            <w:proofErr w:type="spellEnd"/>
            <w:r w:rsidRPr="0048560D">
              <w:rPr>
                <w:b/>
                <w:bCs/>
              </w:rPr>
              <w:t xml:space="preserve"> con propiedades antioxidantes que elimina los radicales libres. Actúa como sustrato para la glutatión </w:t>
            </w:r>
            <w:proofErr w:type="spellStart"/>
            <w:r w:rsidRPr="0048560D">
              <w:rPr>
                <w:b/>
                <w:bCs/>
              </w:rPr>
              <w:t>peroxidasa</w:t>
            </w:r>
            <w:proofErr w:type="spellEnd"/>
            <w:r w:rsidRPr="0048560D">
              <w:rPr>
                <w:b/>
                <w:bCs/>
              </w:rPr>
              <w:t xml:space="preserve"> cuya actividad es interferida por las </w:t>
            </w:r>
            <w:proofErr w:type="spellStart"/>
            <w:r w:rsidRPr="0048560D">
              <w:rPr>
                <w:b/>
                <w:bCs/>
              </w:rPr>
              <w:t>antraciclinas</w:t>
            </w:r>
            <w:proofErr w:type="spellEnd"/>
            <w:r w:rsidRPr="0048560D">
              <w:rPr>
                <w:b/>
                <w:bCs/>
              </w:rPr>
              <w:t xml:space="preserve">. La terapéutica con glutatión puede proteger al corazón de los efectos provocados por las </w:t>
            </w:r>
            <w:proofErr w:type="spellStart"/>
            <w:r w:rsidRPr="0048560D">
              <w:rPr>
                <w:b/>
                <w:bCs/>
              </w:rPr>
              <w:t>antraciclinas</w:t>
            </w:r>
            <w:proofErr w:type="spellEnd"/>
            <w:r w:rsidRPr="0048560D">
              <w:rPr>
                <w:b/>
                <w:bCs/>
              </w:rPr>
              <w:t xml:space="preserve">. </w:t>
            </w:r>
          </w:p>
        </w:tc>
      </w:tr>
    </w:tbl>
    <w:p w:rsidR="0048560D" w:rsidRDefault="0048560D" w:rsidP="0048560D">
      <w:pPr>
        <w:ind w:right="-1277"/>
        <w:jc w:val="right"/>
      </w:pPr>
    </w:p>
    <w:sectPr w:rsidR="004856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0D"/>
    <w:rsid w:val="0048560D"/>
    <w:rsid w:val="0076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C325A-DB41-4771-8841-83ED980C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6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289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nine</dc:creator>
  <cp:keywords/>
  <dc:description/>
  <cp:lastModifiedBy>nine</cp:lastModifiedBy>
  <cp:revision>1</cp:revision>
  <dcterms:created xsi:type="dcterms:W3CDTF">2020-01-21T00:42:00Z</dcterms:created>
  <dcterms:modified xsi:type="dcterms:W3CDTF">2020-01-21T00:53:00Z</dcterms:modified>
</cp:coreProperties>
</file>